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CA78" w14:textId="77777777" w:rsidR="009A2D0B" w:rsidRDefault="009A2D0B" w:rsidP="009A2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46929175" wp14:editId="7FE3206C">
            <wp:extent cx="193357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314E4" w14:textId="77777777" w:rsidR="009A2D0B" w:rsidRDefault="009A2D0B" w:rsidP="009A2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EA54A9E" w14:textId="77777777" w:rsidR="009A2D0B" w:rsidRDefault="009A2D0B" w:rsidP="009A2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2D0B">
        <w:rPr>
          <w:rFonts w:ascii="Times New Roman" w:hAnsi="Times New Roman" w:cs="Times New Roman"/>
          <w:b/>
          <w:bCs/>
          <w:sz w:val="36"/>
          <w:szCs w:val="36"/>
        </w:rPr>
        <w:t>Государственная программа Российской Федерации «Развитие промышленности и повышение ее конкурентоспособности»</w:t>
      </w:r>
    </w:p>
    <w:p w14:paraId="762C566D" w14:textId="77777777" w:rsidR="009A2D0B" w:rsidRPr="009A2D0B" w:rsidRDefault="009A2D0B" w:rsidP="009A2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DFC9B4C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Ответственный исполнитель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DE6449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Федерации.</w:t>
      </w:r>
    </w:p>
    <w:p w14:paraId="34BA2EC5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Соисполнитель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A104EB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Федеральное агентство по техническому регулированию и метрологии.</w:t>
      </w:r>
    </w:p>
    <w:p w14:paraId="6D46A4E7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  <w:u w:val="single"/>
        </w:rPr>
        <w:t>Участники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312395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 (после 15 мая 2018 г.);</w:t>
      </w:r>
    </w:p>
    <w:p w14:paraId="5A2EFA19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 (до 15 мая 2018 г.);</w:t>
      </w:r>
    </w:p>
    <w:p w14:paraId="573D6B4B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Государственная корпорация по космической деятельности "Роскосмос";</w:t>
      </w:r>
    </w:p>
    <w:p w14:paraId="6A4A10C2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Государственная корпорация по атомной энергии "Росатом";</w:t>
      </w:r>
    </w:p>
    <w:p w14:paraId="3671CDA0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Российской Федерации (до 2016 года);</w:t>
      </w:r>
    </w:p>
    <w:p w14:paraId="46EA4339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(до 2015 года);</w:t>
      </w:r>
    </w:p>
    <w:p w14:paraId="2421C237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Федеральное агентство по недропользованию (до 2017 года).</w:t>
      </w:r>
    </w:p>
    <w:p w14:paraId="3E249006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  <w:u w:val="single"/>
        </w:rPr>
        <w:t>Подпрограммы Программы</w:t>
      </w:r>
      <w:r w:rsidRPr="009A2D0B">
        <w:rPr>
          <w:rFonts w:ascii="Times New Roman" w:hAnsi="Times New Roman" w:cs="Times New Roman"/>
          <w:sz w:val="28"/>
          <w:szCs w:val="28"/>
        </w:rPr>
        <w:t xml:space="preserve"> (в том числе федеральные целевые программы)</w:t>
      </w:r>
    </w:p>
    <w:p w14:paraId="1BB5FA11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подпрограмма 1 «Развитие транспортного и специального машиностроения»;</w:t>
      </w:r>
    </w:p>
    <w:p w14:paraId="2F472762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подпрограмма 2 «Развитие производства средств производства»;</w:t>
      </w:r>
    </w:p>
    <w:p w14:paraId="57BE9FD6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подпрограмма 3 «Развитие легкой и текстильной промышленности, народных художественных промыслов, индустрии детских товаров»;</w:t>
      </w:r>
    </w:p>
    <w:p w14:paraId="4706A84A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подпрограмма 4 «Развитие производства традиционных и новых материалов»;</w:t>
      </w:r>
    </w:p>
    <w:p w14:paraId="6572E6AA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подпрограмма 5 «Содействие в реализации инвестиционных проектов и поддержка производителей высокотехнологической продукции в гражданских отраслях промышленности»;</w:t>
      </w:r>
    </w:p>
    <w:p w14:paraId="0407E20D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подпрограмма 6 «Содействие проведению научных исследований и опытных разработок в гражданских отраслях промышленности»;</w:t>
      </w:r>
    </w:p>
    <w:p w14:paraId="3D77BB7A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подпрограмма 7 «Развитие промышленной инфраструктуры и инфраструктуры поддержки деятельности в сфере промышленности»;</w:t>
      </w:r>
    </w:p>
    <w:p w14:paraId="35601E59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подпрограмма 8 «Развитие системы технического регулирования, стандартизации и обеспечение единства измерений»;</w:t>
      </w:r>
    </w:p>
    <w:p w14:paraId="43790CCE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подпрограмма 9 «Ликвидация последствий деятельности объектов по хранению и объектов по уничтожению химического оружия в Российской Федерации»;</w:t>
      </w:r>
    </w:p>
    <w:p w14:paraId="15ED17D3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федеральная целевая программа «Уничтожение запасов химического оружия в Российской Федерации».</w:t>
      </w:r>
    </w:p>
    <w:p w14:paraId="43B7BD17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D0B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ADDE11C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lastRenderedPageBreak/>
        <w:t>формирование в гражданских отраслях промышленности Российской Федерации глобально конкурентоспособного сектора с высоким экспортным потенциалом, обеспечивающего достижение национальных целей развития.</w:t>
      </w:r>
    </w:p>
    <w:p w14:paraId="2D11F37F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  <w:u w:val="single"/>
        </w:rPr>
        <w:t>Задачи государственной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24B72096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обеспечение потребностей в продукции транспортного комплекса за счет внутреннего производства конкурентоспособной техники;</w:t>
      </w:r>
    </w:p>
    <w:p w14:paraId="2069DEFB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обеспечение промышленности средствами производства;</w:t>
      </w:r>
    </w:p>
    <w:p w14:paraId="189BF769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создание устойчиво развивающейся легкой и текстильной промышленности, индустрии детских товаров, сохранение производства изделий народных художественных промыслов и поддержание экономической стабильности организаций народных художественных промыслов;</w:t>
      </w:r>
    </w:p>
    <w:p w14:paraId="326F41C6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обеспечение потребности промышленности в доступных, технологичных, экологичных, традиционных и новых материалах;</w:t>
      </w:r>
    </w:p>
    <w:p w14:paraId="713B1F78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расширение производства современной высокотехнологичной промышленной продукции;</w:t>
      </w:r>
    </w:p>
    <w:p w14:paraId="043336EF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ориентация промышленной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14:paraId="3BCF1783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обновление технологической и материальной базы отраслей гражданской промышленности;</w:t>
      </w:r>
    </w:p>
    <w:p w14:paraId="12C5C845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координация программ развития отраслей промышленности со спросом на технологическую продукцию;</w:t>
      </w:r>
    </w:p>
    <w:p w14:paraId="48A0C413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создание инновационной инфраструктуры для развития традиционных и новых отраслей промышленности и координация региональной промышленной политики;</w:t>
      </w:r>
    </w:p>
    <w:p w14:paraId="5A8EF1E8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развитие системы технического регулирования, стандартизации, метрологии, в том числе обеспечение единства измерений, сохранение метрологического суверенитета Российской Федерации и содействие внедрению промышленными предприятиями наилучших доступных технологий;</w:t>
      </w:r>
    </w:p>
    <w:p w14:paraId="38E3256D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создание безопасных условий для развития традиционных и новых отраслей промышленности на базе объектов по хранению и объектов по уничтожению химического оружия.</w:t>
      </w:r>
    </w:p>
    <w:p w14:paraId="7D1F9FC2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  <w:u w:val="single"/>
        </w:rPr>
        <w:t>Целевые индикаторы и показатели государственной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4140DB86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индекс производства по виду экономической деятельности "Обрабатывающие производства" по отношению к предыдущему году;</w:t>
      </w:r>
    </w:p>
    <w:p w14:paraId="70327BDE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индекс физического объема инвестиций в основной капитал по виду экономической деятельности "Обрабатывающие производства" по отношению к предыдущему году;</w:t>
      </w:r>
    </w:p>
    <w:p w14:paraId="5BC6EBD5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объем экспорта несырьевых неэнергетических промышленных товаров;</w:t>
      </w:r>
    </w:p>
    <w:p w14:paraId="795231B4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соотношение внебюджетных средств и бюджетных ассигнований в составе внутренних затрат на исследования и разработки в рамках Программы;</w:t>
      </w:r>
    </w:p>
    <w:p w14:paraId="6149B2BC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соотношение инвестиций в основной капитал и валовой добавленной стоимости обрабатывающих производств;</w:t>
      </w:r>
    </w:p>
    <w:p w14:paraId="635AC94F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lastRenderedPageBreak/>
        <w:t>соотношение импорта продукции и валовой добавленной стоимости обрабатывающих производств;</w:t>
      </w:r>
    </w:p>
    <w:p w14:paraId="2CE9D4EF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доля предприятий промышленности, использующих электронные сервисы государственной информационной системы промышленности, от общего количества промышленных предприятий;</w:t>
      </w:r>
    </w:p>
    <w:p w14:paraId="219AAA9F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количество региональных фондов развития промышленности, получивших поддержку в рамках государственной программы.</w:t>
      </w:r>
    </w:p>
    <w:p w14:paraId="4590486A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D0B">
        <w:rPr>
          <w:rFonts w:ascii="Times New Roman" w:hAnsi="Times New Roman" w:cs="Times New Roman"/>
          <w:sz w:val="28"/>
          <w:szCs w:val="28"/>
          <w:u w:val="single"/>
        </w:rPr>
        <w:t>Этапы и сроки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B36DC41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I этап - 2013 - 2015 годы;</w:t>
      </w:r>
    </w:p>
    <w:p w14:paraId="12AC89F9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II этап - 2016 - 2020 годы;</w:t>
      </w:r>
    </w:p>
    <w:p w14:paraId="0035DF91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III этап - 2021 - 2024 годы;</w:t>
      </w:r>
    </w:p>
    <w:p w14:paraId="2DCE6371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IV этап - 2025 - 2030 годы.</w:t>
      </w:r>
    </w:p>
    <w:p w14:paraId="61C9AE82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D0B">
        <w:rPr>
          <w:rFonts w:ascii="Times New Roman" w:hAnsi="Times New Roman" w:cs="Times New Roman"/>
          <w:sz w:val="28"/>
          <w:szCs w:val="28"/>
          <w:u w:val="single"/>
        </w:rPr>
        <w:t>Объемы бюджетных ассигнований государственной программы</w:t>
      </w:r>
    </w:p>
    <w:p w14:paraId="11388BE5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объемы финансирования за счет федерального бюджета составляют 7 149 065 192,9 тыс. рублей, в том числе:</w:t>
      </w:r>
    </w:p>
    <w:p w14:paraId="415B7B6D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2023 год - 553436180,7 тыс. рублей;</w:t>
      </w:r>
    </w:p>
    <w:p w14:paraId="6D9AD704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2024 год - 558876116,4 тыс. рублей;</w:t>
      </w:r>
    </w:p>
    <w:p w14:paraId="6837AD29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2025 год - 562330821,3 тыс. рублей;</w:t>
      </w:r>
    </w:p>
    <w:p w14:paraId="3AFAEFB6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2026 год - 561649984,9 тыс. рублей;</w:t>
      </w:r>
    </w:p>
    <w:p w14:paraId="47CAEF96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2027 год - 566462844,7 тыс. рублей;</w:t>
      </w:r>
    </w:p>
    <w:p w14:paraId="4F56187F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2028 год - 565987769 тыс. рублей;</w:t>
      </w:r>
    </w:p>
    <w:p w14:paraId="34F69329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2029 год - 565987769 тыс. рублей;</w:t>
      </w:r>
    </w:p>
    <w:p w14:paraId="72784942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2030 год - 565987769 тыс. рублей.</w:t>
      </w:r>
    </w:p>
    <w:p w14:paraId="0B9F601E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D0B">
        <w:rPr>
          <w:rFonts w:ascii="Times New Roman" w:hAnsi="Times New Roman" w:cs="Times New Roman"/>
          <w:sz w:val="28"/>
          <w:szCs w:val="28"/>
          <w:u w:val="single"/>
        </w:rPr>
        <w:t>Ожидаемые результаты реализации государственной программы</w:t>
      </w:r>
    </w:p>
    <w:p w14:paraId="7C370B2D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увеличение производства и экспорта продукции с высокой добавленной стоимостью, в том числе высокотехнологичной, обеспечивающее рост производства по высокотехнологичным обрабатывающим видам экономической деятельности, в 2030 году на 80 процентов по сравнению с 2019 годом и реальный рост экспорта несырьевых неэнергетических товаров не менее 70 процентов по сравнению с показателем 2020 года;</w:t>
      </w:r>
    </w:p>
    <w:p w14:paraId="66B4CAF6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поддержание постоянной положительной динамики инвестиций в основной капитал, обеспечивающей к 2030 году реальный рост инвестиций в основной капитал не менее 70 процентов по сравнению с показателем 2020 года, содействие решению задачи по наращиванию объема инвестиций в целом по экономике до 27 процентов валового внутреннего продукта;</w:t>
      </w:r>
    </w:p>
    <w:p w14:paraId="40DB24E5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 xml:space="preserve">сокращение зависимости экономики Российской Федерации от импорта критически важных для устойчивого развития продуктов, оборудования и технологий до уровня </w:t>
      </w:r>
      <w:proofErr w:type="spellStart"/>
      <w:r w:rsidRPr="009A2D0B">
        <w:rPr>
          <w:rFonts w:ascii="Times New Roman" w:hAnsi="Times New Roman" w:cs="Times New Roman"/>
          <w:sz w:val="28"/>
          <w:szCs w:val="28"/>
        </w:rPr>
        <w:t>импортозависимости</w:t>
      </w:r>
      <w:proofErr w:type="spellEnd"/>
      <w:r w:rsidRPr="009A2D0B">
        <w:rPr>
          <w:rFonts w:ascii="Times New Roman" w:hAnsi="Times New Roman" w:cs="Times New Roman"/>
          <w:sz w:val="28"/>
          <w:szCs w:val="28"/>
        </w:rPr>
        <w:t xml:space="preserve"> 50 процентов и менее;</w:t>
      </w:r>
    </w:p>
    <w:p w14:paraId="322343C1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модернизация технологической базы отраслей промышленности, ориентированных на инвестиционный спрос, обеспечение значительного по объему притока внебюджетных инвестиций в отрасли промышленности и доведение доли организаций обрабатывающей промышленности, осуществляющих технологические инновации, до 50 процентов;</w:t>
      </w:r>
    </w:p>
    <w:p w14:paraId="0DEAFF6F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 xml:space="preserve">повышение производственной эффективности и энергоэффективности, обеспечение роста производительности труда до 4 процентов в годовом </w:t>
      </w:r>
      <w:r w:rsidRPr="009A2D0B">
        <w:rPr>
          <w:rFonts w:ascii="Times New Roman" w:hAnsi="Times New Roman" w:cs="Times New Roman"/>
          <w:sz w:val="28"/>
          <w:szCs w:val="28"/>
        </w:rPr>
        <w:lastRenderedPageBreak/>
        <w:t>выражении к 2030 году и снижения энергоемкости до уровня 71,8 процента в 2024 году по отношению к базовому 2011 году за счет использования передовых технологий и современного оборудования;</w:t>
      </w:r>
    </w:p>
    <w:p w14:paraId="0B560145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увеличение количества высокопроизводительных рабочих мест путем создания новых производств, ежегодный прирост высокопроизводительных рабочих мест на уровне не менее 5 процентов;</w:t>
      </w:r>
    </w:p>
    <w:p w14:paraId="7D7B7387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увеличение количества действующих индустриальных (промышленных) парков и промышленных технопарков к 2030 году до 350 единиц;</w:t>
      </w:r>
    </w:p>
    <w:p w14:paraId="040BFC7B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формирование эффективной системы поддержки спроса на продукцию новых отраслей;</w:t>
      </w:r>
    </w:p>
    <w:p w14:paraId="5AE1A6AA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обеспечение необходимой для устойчивого развития экономики интенсивности и результативности затрат на исследования и разработки в гражданских отраслях промышленности как за счет бюджетных, так и за счет внебюджетных источников, в том числе обеспечение достижения к 2030 году объема внутренних затрат на исследования и разработки в обрабатывающей промышленности не менее 1 трлн. рублей и сопоставимых показателей разработок, оканчивающихся изготовлением, предварительными и приемочными испытаниями опытного образца (опытной партии);</w:t>
      </w:r>
    </w:p>
    <w:p w14:paraId="1DC3B980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достижение показателей цифровизации обрабатывающей промышленности, в том числе выход на уровень внутренних затрат на развитие цифровой экономики в 5,1 процента от создаваемой валовой добавленной стоимости;</w:t>
      </w:r>
    </w:p>
    <w:p w14:paraId="78B032FF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достижение 80 процентов машиночитаемых стандартов в Федеральном информационном фонде стандартов к 2027 году в целях повышения конкурентоспособности продукции и продвижения технологий на мировые рынки;</w:t>
      </w:r>
    </w:p>
    <w:p w14:paraId="1AA15620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достижение к 2025 году обеспеченности измерений в сфере государственного регулирования обеспечения единства измерений эталонами и методиками (методами) измерений на уровне 100 процентов, стандартными образцами на уровне 75 процентов;</w:t>
      </w:r>
    </w:p>
    <w:p w14:paraId="3A71DC46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обеспечение к 2025 году не менее 1730 записей в базе данных Международного бюро мер и весов о калибровочных и измерительных возможностях, что обеспечит сохранение позиций Российской Федерации в числе стран - лидеров по количеству калибровочных и измерительных возможностей;</w:t>
      </w:r>
    </w:p>
    <w:p w14:paraId="3D1C2A51" w14:textId="77777777" w:rsidR="009A2D0B" w:rsidRPr="009A2D0B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утверждение в качестве документов национальной системы стандартизации информационно-технических справочников по наилучшим доступным технологиям;</w:t>
      </w:r>
    </w:p>
    <w:p w14:paraId="7C904ACD" w14:textId="77777777" w:rsidR="00566EA2" w:rsidRDefault="009A2D0B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формирование безопасных условий для создания новых конкурентоспособных производств на базе имущественных комплексов объектов по хранению и объектов по уничтожению химического оружия, в том числе приведение в безопасное состояние 100 процентов зданий и сооружений, а также рекультивация 100 процентов земельных участков этих объектов.</w:t>
      </w:r>
    </w:p>
    <w:p w14:paraId="065869AC" w14:textId="77777777" w:rsidR="009C1D23" w:rsidRDefault="009C1D23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9EDA0" w14:textId="77777777" w:rsidR="009C1D23" w:rsidRDefault="009C1D23" w:rsidP="009A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FB075" w14:textId="2339E1AE" w:rsidR="009C1D23" w:rsidRPr="009C1D23" w:rsidRDefault="009C1D23" w:rsidP="009A2D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1D23">
        <w:rPr>
          <w:rFonts w:ascii="Times New Roman" w:hAnsi="Times New Roman" w:cs="Times New Roman"/>
          <w:b/>
          <w:bCs/>
          <w:sz w:val="32"/>
          <w:szCs w:val="32"/>
        </w:rPr>
        <w:t>https://minpromtorg.gov.ru/activities/state_programs/list/gp2/about/</w:t>
      </w:r>
    </w:p>
    <w:sectPr w:rsidR="009C1D23" w:rsidRPr="009C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0B"/>
    <w:rsid w:val="000F6465"/>
    <w:rsid w:val="00201015"/>
    <w:rsid w:val="00566EA2"/>
    <w:rsid w:val="0099786E"/>
    <w:rsid w:val="009A2D0B"/>
    <w:rsid w:val="009C1D23"/>
    <w:rsid w:val="009D1BA2"/>
    <w:rsid w:val="00B7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E030"/>
  <w15:docId w15:val="{586D1C3C-39ED-4CC6-B366-A5629CD8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cp:lastPrinted>2023-04-24T11:51:00Z</cp:lastPrinted>
  <dcterms:created xsi:type="dcterms:W3CDTF">2023-04-24T11:47:00Z</dcterms:created>
  <dcterms:modified xsi:type="dcterms:W3CDTF">2023-07-05T08:25:00Z</dcterms:modified>
</cp:coreProperties>
</file>