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A0F" w14:textId="77777777" w:rsidR="006B350D" w:rsidRDefault="006B350D" w:rsidP="006B350D">
      <w:pPr>
        <w:shd w:val="clear" w:color="auto" w:fill="FFFFFF"/>
        <w:spacing w:line="540" w:lineRule="atLeast"/>
        <w:jc w:val="center"/>
        <w:textAlignment w:val="baseline"/>
        <w:rPr>
          <w:rFonts w:ascii="Times New Roman" w:eastAsia="Times New Roman" w:hAnsi="Times New Roman" w:cs="Times New Roman"/>
          <w:color w:val="393E46"/>
          <w:kern w:val="0"/>
          <w:sz w:val="45"/>
          <w:szCs w:val="45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45"/>
          <w:szCs w:val="45"/>
          <w:lang w:eastAsia="ru-RU"/>
          <w14:ligatures w14:val="none"/>
        </w:rPr>
        <w:t>Инновационный центр «Сколково»</w:t>
      </w:r>
    </w:p>
    <w:p w14:paraId="17441BE4" w14:textId="77777777" w:rsidR="006B350D" w:rsidRDefault="006B350D" w:rsidP="006B350D">
      <w:pPr>
        <w:shd w:val="clear" w:color="auto" w:fill="FFFFFF"/>
        <w:spacing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E46"/>
          <w:kern w:val="0"/>
          <w:sz w:val="45"/>
          <w:szCs w:val="45"/>
          <w:lang w:eastAsia="ru-RU"/>
          <w14:ligatures w14:val="none"/>
        </w:rPr>
      </w:pPr>
      <w:proofErr w:type="spellStart"/>
      <w:r w:rsidRPr="006B350D">
        <w:rPr>
          <w:rFonts w:ascii="Times New Roman" w:eastAsia="Times New Roman" w:hAnsi="Times New Roman" w:cs="Times New Roman"/>
          <w:b/>
          <w:bCs/>
          <w:color w:val="393E46"/>
          <w:kern w:val="0"/>
          <w:sz w:val="45"/>
          <w:szCs w:val="45"/>
          <w:lang w:eastAsia="ru-RU"/>
          <w14:ligatures w14:val="none"/>
        </w:rPr>
        <w:t>Микрогранты</w:t>
      </w:r>
      <w:proofErr w:type="spellEnd"/>
    </w:p>
    <w:p w14:paraId="2AEEB686" w14:textId="77777777" w:rsidR="006B350D" w:rsidRPr="006B350D" w:rsidRDefault="006B350D" w:rsidP="006B350D">
      <w:pPr>
        <w:shd w:val="clear" w:color="auto" w:fill="FFFFFF"/>
        <w:spacing w:line="5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93E46"/>
          <w:kern w:val="0"/>
          <w:sz w:val="45"/>
          <w:szCs w:val="45"/>
          <w:lang w:eastAsia="ru-RU"/>
          <w14:ligatures w14:val="none"/>
        </w:rPr>
      </w:pPr>
    </w:p>
    <w:p w14:paraId="22DCEB1A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b/>
          <w:bCs/>
          <w:color w:val="3B4256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Сумма</w:t>
      </w:r>
    </w:p>
    <w:p w14:paraId="103415AC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До 1,5 млн руб. в одной заявке, не более 4 млн. руб. в год на участника</w:t>
      </w:r>
    </w:p>
    <w:p w14:paraId="39301711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b/>
          <w:bCs/>
          <w:color w:val="3B4256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Софинансирование</w:t>
      </w:r>
    </w:p>
    <w:p w14:paraId="04F1A7C5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Не требуется</w:t>
      </w:r>
    </w:p>
    <w:p w14:paraId="45BDD3B5" w14:textId="77777777" w:rsidR="006B350D" w:rsidRPr="006B350D" w:rsidRDefault="006B350D" w:rsidP="006B350D">
      <w:pPr>
        <w:numPr>
          <w:ilvl w:val="0"/>
          <w:numId w:val="2"/>
        </w:numPr>
        <w:shd w:val="clear" w:color="auto" w:fill="F9FAFA"/>
        <w:spacing w:after="0" w:line="297" w:lineRule="atLeast"/>
        <w:ind w:left="1410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Защита интеллектуальной собственности</w:t>
      </w:r>
    </w:p>
    <w:p w14:paraId="1E6FA7DD" w14:textId="77777777" w:rsidR="006B350D" w:rsidRPr="006B350D" w:rsidRDefault="006B350D" w:rsidP="006B350D">
      <w:pPr>
        <w:numPr>
          <w:ilvl w:val="0"/>
          <w:numId w:val="2"/>
        </w:numPr>
        <w:shd w:val="clear" w:color="auto" w:fill="F9FAFA"/>
        <w:spacing w:after="0" w:line="297" w:lineRule="atLeast"/>
        <w:ind w:left="1410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Прототипирование</w:t>
      </w:r>
    </w:p>
    <w:p w14:paraId="3C878C59" w14:textId="77777777" w:rsidR="006B350D" w:rsidRPr="006B350D" w:rsidRDefault="006B350D" w:rsidP="006B350D">
      <w:pPr>
        <w:numPr>
          <w:ilvl w:val="0"/>
          <w:numId w:val="2"/>
        </w:numPr>
        <w:shd w:val="clear" w:color="auto" w:fill="F9FAFA"/>
        <w:spacing w:after="0" w:line="297" w:lineRule="atLeast"/>
        <w:ind w:left="1410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Проведение испытаний</w:t>
      </w:r>
    </w:p>
    <w:p w14:paraId="371FFB9D" w14:textId="77777777" w:rsidR="006B350D" w:rsidRPr="006B350D" w:rsidRDefault="006B350D" w:rsidP="006B350D">
      <w:pPr>
        <w:numPr>
          <w:ilvl w:val="0"/>
          <w:numId w:val="2"/>
        </w:numPr>
        <w:shd w:val="clear" w:color="auto" w:fill="F9FAFA"/>
        <w:spacing w:after="0" w:line="297" w:lineRule="atLeast"/>
        <w:ind w:left="1410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Участие в выставках и конференциях</w:t>
      </w:r>
    </w:p>
    <w:p w14:paraId="6104823C" w14:textId="77777777" w:rsidR="006B350D" w:rsidRPr="006B350D" w:rsidRDefault="006B350D" w:rsidP="006B350D">
      <w:pPr>
        <w:numPr>
          <w:ilvl w:val="0"/>
          <w:numId w:val="2"/>
        </w:numPr>
        <w:shd w:val="clear" w:color="auto" w:fill="F9FAFA"/>
        <w:spacing w:after="0" w:line="297" w:lineRule="atLeast"/>
        <w:ind w:left="1410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Приобретение комплектующих для сборки прототипа</w:t>
      </w:r>
    </w:p>
    <w:p w14:paraId="05052D97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 </w:t>
      </w:r>
    </w:p>
    <w:p w14:paraId="32B29BA6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b/>
          <w:bCs/>
          <w:color w:val="3B4256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Форма</w:t>
      </w:r>
    </w:p>
    <w:p w14:paraId="090A0613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Авансирование/компенсация</w:t>
      </w:r>
    </w:p>
    <w:p w14:paraId="6097C76A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b/>
          <w:bCs/>
          <w:color w:val="3B4256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Процедура получения</w:t>
      </w:r>
    </w:p>
    <w:p w14:paraId="39CA1668" w14:textId="77777777" w:rsidR="006B350D" w:rsidRPr="006B350D" w:rsidRDefault="006B350D" w:rsidP="006B350D">
      <w:pPr>
        <w:numPr>
          <w:ilvl w:val="0"/>
          <w:numId w:val="3"/>
        </w:num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Заявка</w:t>
      </w:r>
    </w:p>
    <w:p w14:paraId="18CA7903" w14:textId="77777777" w:rsidR="006B350D" w:rsidRPr="006B350D" w:rsidRDefault="006B350D" w:rsidP="006B350D">
      <w:pPr>
        <w:numPr>
          <w:ilvl w:val="0"/>
          <w:numId w:val="3"/>
        </w:num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Соглашение</w:t>
      </w:r>
    </w:p>
    <w:p w14:paraId="2A912AC7" w14:textId="77777777" w:rsidR="006B350D" w:rsidRPr="006B350D" w:rsidRDefault="006B350D" w:rsidP="006B350D">
      <w:pPr>
        <w:numPr>
          <w:ilvl w:val="0"/>
          <w:numId w:val="3"/>
        </w:num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Выплата</w:t>
      </w:r>
    </w:p>
    <w:p w14:paraId="1E22E119" w14:textId="77777777" w:rsidR="006B350D" w:rsidRPr="006B350D" w:rsidRDefault="006B350D" w:rsidP="006B350D">
      <w:pPr>
        <w:numPr>
          <w:ilvl w:val="0"/>
          <w:numId w:val="3"/>
        </w:num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93E46"/>
          <w:kern w:val="0"/>
          <w:sz w:val="32"/>
          <w:szCs w:val="32"/>
          <w:lang w:eastAsia="ru-RU"/>
          <w14:ligatures w14:val="none"/>
        </w:rPr>
        <w:t>Отчет</w:t>
      </w:r>
    </w:p>
    <w:p w14:paraId="3B223687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 </w:t>
      </w:r>
    </w:p>
    <w:p w14:paraId="2A92A698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b/>
          <w:bCs/>
          <w:color w:val="3B4256"/>
          <w:kern w:val="0"/>
          <w:sz w:val="32"/>
          <w:szCs w:val="32"/>
          <w:bdr w:val="none" w:sz="0" w:space="0" w:color="auto" w:frame="1"/>
          <w:lang w:eastAsia="ru-RU"/>
          <w14:ligatures w14:val="none"/>
        </w:rPr>
        <w:t>Сроки</w:t>
      </w:r>
    </w:p>
    <w:p w14:paraId="570DEEFB" w14:textId="77777777" w:rsidR="006B350D" w:rsidRPr="006B350D" w:rsidRDefault="006B350D" w:rsidP="006B350D">
      <w:pPr>
        <w:shd w:val="clear" w:color="auto" w:fill="F9FAFA"/>
        <w:spacing w:after="0" w:line="297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От заявки до одобрения – не более 20 рабочих дней</w:t>
      </w:r>
    </w:p>
    <w:p w14:paraId="4C960440" w14:textId="77777777" w:rsidR="006B350D" w:rsidRDefault="006B350D" w:rsidP="006B3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</w:p>
    <w:p w14:paraId="322DE8C3" w14:textId="77777777" w:rsidR="006B350D" w:rsidRPr="006B350D" w:rsidRDefault="006B350D" w:rsidP="006B3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</w:p>
    <w:p w14:paraId="26474EB1" w14:textId="77777777" w:rsidR="006B350D" w:rsidRPr="006B350D" w:rsidRDefault="006B350D" w:rsidP="006B35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proofErr w:type="spellStart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Микрогранты</w:t>
      </w:r>
      <w:proofErr w:type="spellEnd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предоставляются участнику на решение определенных задач в рамках исследовательской и коммерциализации продукта. Размер </w:t>
      </w:r>
      <w:proofErr w:type="spellStart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микрогранта</w:t>
      </w:r>
      <w:proofErr w:type="spellEnd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 xml:space="preserve"> не может превышать 1,5 млн. руб. (общий размер </w:t>
      </w:r>
      <w:proofErr w:type="spellStart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микрогрантов</w:t>
      </w:r>
      <w:proofErr w:type="spellEnd"/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, перечисленных одному участнику, не может превышать 4 млн. руб. в течение одного календарного года).</w:t>
      </w:r>
    </w:p>
    <w:p w14:paraId="18A2AB94" w14:textId="77777777" w:rsidR="006B350D" w:rsidRDefault="006B350D" w:rsidP="006B35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333333"/>
          <w:kern w:val="0"/>
          <w:sz w:val="32"/>
          <w:szCs w:val="32"/>
          <w:lang w:eastAsia="ru-RU"/>
          <w14:ligatures w14:val="none"/>
        </w:rPr>
        <w:t> </w:t>
      </w:r>
    </w:p>
    <w:p w14:paraId="339D06FC" w14:textId="77777777" w:rsidR="006B350D" w:rsidRPr="006B350D" w:rsidRDefault="006B350D" w:rsidP="006B350D">
      <w:pPr>
        <w:shd w:val="clear" w:color="auto" w:fill="FFFFFF"/>
        <w:spacing w:line="32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93E46"/>
          <w:kern w:val="0"/>
          <w:sz w:val="32"/>
          <w:szCs w:val="32"/>
          <w:lang w:eastAsia="ru-RU"/>
          <w14:ligatures w14:val="none"/>
        </w:rPr>
      </w:pPr>
      <w:proofErr w:type="spellStart"/>
      <w:r w:rsidRPr="006B350D">
        <w:rPr>
          <w:rFonts w:ascii="Times New Roman" w:eastAsia="Times New Roman" w:hAnsi="Times New Roman" w:cs="Times New Roman"/>
          <w:b/>
          <w:bCs/>
          <w:color w:val="393E46"/>
          <w:kern w:val="0"/>
          <w:sz w:val="32"/>
          <w:szCs w:val="32"/>
          <w:lang w:eastAsia="ru-RU"/>
          <w14:ligatures w14:val="none"/>
        </w:rPr>
        <w:lastRenderedPageBreak/>
        <w:t>Микрогрант</w:t>
      </w:r>
      <w:proofErr w:type="spellEnd"/>
      <w:r w:rsidRPr="006B350D">
        <w:rPr>
          <w:rFonts w:ascii="Times New Roman" w:eastAsia="Times New Roman" w:hAnsi="Times New Roman" w:cs="Times New Roman"/>
          <w:b/>
          <w:bCs/>
          <w:color w:val="393E46"/>
          <w:kern w:val="0"/>
          <w:sz w:val="32"/>
          <w:szCs w:val="32"/>
          <w:lang w:eastAsia="ru-RU"/>
          <w14:ligatures w14:val="none"/>
        </w:rPr>
        <w:t xml:space="preserve"> предоставляется только участникам, отвечающим следующим требованиям:</w:t>
      </w:r>
    </w:p>
    <w:p w14:paraId="2A21D08F" w14:textId="77777777" w:rsidR="006B350D" w:rsidRPr="006B350D" w:rsidRDefault="006B350D" w:rsidP="006B350D">
      <w:pPr>
        <w:numPr>
          <w:ilvl w:val="0"/>
          <w:numId w:val="1"/>
        </w:numPr>
        <w:shd w:val="clear" w:color="auto" w:fill="FFFFFF"/>
        <w:spacing w:after="24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Вид участника – Стартап</w:t>
      </w:r>
    </w:p>
    <w:p w14:paraId="6E4ABDB6" w14:textId="77777777" w:rsidR="006B350D" w:rsidRPr="006B350D" w:rsidRDefault="006B350D" w:rsidP="006B350D">
      <w:pPr>
        <w:numPr>
          <w:ilvl w:val="0"/>
          <w:numId w:val="1"/>
        </w:numPr>
        <w:shd w:val="clear" w:color="auto" w:fill="FFFFFF"/>
        <w:spacing w:after="24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Штатная численность на конец отчетного квартала, предшествующего подаче заявки, - не менее 3 и не более 50 работников</w:t>
      </w:r>
    </w:p>
    <w:p w14:paraId="445CDF0F" w14:textId="77777777" w:rsidR="006B350D" w:rsidRPr="006B350D" w:rsidRDefault="006B350D" w:rsidP="006B350D">
      <w:pPr>
        <w:numPr>
          <w:ilvl w:val="0"/>
          <w:numId w:val="1"/>
        </w:numPr>
        <w:shd w:val="clear" w:color="auto" w:fill="FFFFFF"/>
        <w:spacing w:after="24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Выручка за календарный год, предшествовавший подаче заявки, не превышает 100 млн. руб. (меньшее значение может быть установлено приказом Фонда, размещаемым на сайте Фонда)</w:t>
      </w:r>
    </w:p>
    <w:p w14:paraId="39E62AAD" w14:textId="77777777" w:rsidR="006B350D" w:rsidRPr="006B350D" w:rsidRDefault="006B350D" w:rsidP="006B350D">
      <w:pPr>
        <w:numPr>
          <w:ilvl w:val="0"/>
          <w:numId w:val="1"/>
        </w:numPr>
        <w:shd w:val="clear" w:color="auto" w:fill="FFFFFF"/>
        <w:spacing w:after="240" w:line="240" w:lineRule="auto"/>
        <w:ind w:left="1410"/>
        <w:jc w:val="both"/>
        <w:textAlignment w:val="baseline"/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</w:pPr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Участник на момент подачи заявки не является стороной соглашения с Фондом о предоставлении гранта (</w:t>
      </w:r>
      <w:proofErr w:type="spellStart"/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минигранта</w:t>
      </w:r>
      <w:proofErr w:type="spellEnd"/>
      <w:r w:rsidRPr="006B350D">
        <w:rPr>
          <w:rFonts w:ascii="Times New Roman" w:eastAsia="Times New Roman" w:hAnsi="Times New Roman" w:cs="Times New Roman"/>
          <w:color w:val="15181E"/>
          <w:kern w:val="0"/>
          <w:sz w:val="32"/>
          <w:szCs w:val="32"/>
          <w:lang w:eastAsia="ru-RU"/>
          <w14:ligatures w14:val="none"/>
        </w:rPr>
        <w:t>), в рамках выполнения обязательств по которому Фонд не принял решения Фонда о принятии к сведению отчета за последний этап реализации проекта в соответствии с Положением о грантах или в соответствии с условиями соглашения о предоставлении гранта, на которое не распространяется действие Положения о грантах</w:t>
      </w:r>
    </w:p>
    <w:p w14:paraId="4DFFFBB9" w14:textId="77777777" w:rsidR="00566EA2" w:rsidRDefault="00566EA2" w:rsidP="006B3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60A70E" w14:textId="66E229D1" w:rsidR="005739D7" w:rsidRPr="005739D7" w:rsidRDefault="005739D7" w:rsidP="006B350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739D7">
        <w:rPr>
          <w:rFonts w:ascii="Times New Roman" w:hAnsi="Times New Roman" w:cs="Times New Roman"/>
          <w:b/>
          <w:bCs/>
          <w:sz w:val="32"/>
          <w:szCs w:val="32"/>
        </w:rPr>
        <w:t>https://sk.ru/grant-financial-support/microgrants/</w:t>
      </w:r>
    </w:p>
    <w:sectPr w:rsidR="005739D7" w:rsidRPr="0057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12FB4"/>
    <w:multiLevelType w:val="multilevel"/>
    <w:tmpl w:val="AC8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95BFD"/>
    <w:multiLevelType w:val="multilevel"/>
    <w:tmpl w:val="631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A131B"/>
    <w:multiLevelType w:val="multilevel"/>
    <w:tmpl w:val="59BE2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6371639">
    <w:abstractNumId w:val="1"/>
  </w:num>
  <w:num w:numId="2" w16cid:durableId="1603687622">
    <w:abstractNumId w:val="0"/>
  </w:num>
  <w:num w:numId="3" w16cid:durableId="2070376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0D"/>
    <w:rsid w:val="00201015"/>
    <w:rsid w:val="00566EA2"/>
    <w:rsid w:val="005739D7"/>
    <w:rsid w:val="006B350D"/>
    <w:rsid w:val="008F4283"/>
    <w:rsid w:val="009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BFF9"/>
  <w15:chartTrackingRefBased/>
  <w15:docId w15:val="{08BADB70-A2C9-4CB9-970D-1D97F07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0127">
          <w:marLeft w:val="0"/>
          <w:marRight w:val="0"/>
          <w:marTop w:val="45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67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2023-04-24T11:58:00Z</cp:lastPrinted>
  <dcterms:created xsi:type="dcterms:W3CDTF">2023-04-24T11:53:00Z</dcterms:created>
  <dcterms:modified xsi:type="dcterms:W3CDTF">2023-07-05T08:28:00Z</dcterms:modified>
</cp:coreProperties>
</file>